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Минпромторг России приглашает на конкурс «Торговля России»</w:t>
      </w:r>
    </w:p>
    <w:bookmarkEnd w:id="0"/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3 марта 2025 года </w:t>
      </w:r>
      <w:r>
        <w:rPr>
          <w:sz w:val="28"/>
          <w:szCs w:val="28"/>
        </w:rPr>
        <w:t xml:space="preserve">начался прием заявок на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ежегодный конкурс </w:t>
      </w:r>
      <w:r>
        <w:rPr>
          <w:b/>
          <w:sz w:val="28"/>
          <w:szCs w:val="28"/>
        </w:rPr>
        <w:t>«Торговля России»</w:t>
      </w:r>
      <w:r>
        <w:rPr>
          <w:sz w:val="28"/>
          <w:szCs w:val="28"/>
        </w:rPr>
        <w:t>, организатором которого является Министерство промышленности и торговли Российской Федерации при содействии отраслевых ассоциаций –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 и автономной некоммерческой организации «Российская система качества».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«Российская торговля всегда была и остается динамично развивающейся отраслью. Она быстро впитывает все инновации и лучшие практики. Принимая участие в конкурсе сегодня, вы имеете возможность повлиять на то, каким будет будущее российской торговли. Ваш опыт ведения дел и неожиданные находки, которые вы представите, могут стать импульсом для всех торговых предприятий страны», – отметил Роман Чекушов, статс-секретарь – заместитель министра промышленности и торговли Российской Федерации.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участников будет проводиться по следующим номинациям: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«Лучший торговый город», «Лучшая торговая улица», «Лучший нестационарный торговый объект», «Лучшая ярмарка», «Лучший розничный рынок», «Лучший мобильный торговый объект», «Лучший магазин», «Лучший объект фаст-фуда», «Лучший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 и «Лучший придорожный сервис».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Конкурс «Торговля России» </w:t>
      </w:r>
      <w:r>
        <w:rPr>
          <w:sz w:val="28"/>
          <w:szCs w:val="28"/>
        </w:rPr>
        <w:t>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11-ой «Недели Российского Ритейла».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Международный форум бизнеса и власти «Неделя Российского Ритейла»</w:t>
      </w:r>
      <w:r>
        <w:rPr>
          <w:sz w:val="28"/>
          <w:szCs w:val="28"/>
        </w:rPr>
        <w:t xml:space="preserve"> - самое ожидаемое отраслевое событие в этом году для всей ритейл-индустрии, которое пройдет со 2 по 5 июня 2025 года и соберет более восьми тысяч участников.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подать заявку и заполнить анкету на сайте Торговляроссии.рф. 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окончания приема заявок 4 апреля 2025 года.</w:t>
      </w:r>
    </w:p>
    <w:p w:rsidR="007812CD" w:rsidRDefault="007812CD" w:rsidP="007812CD">
      <w:pPr>
        <w:tabs>
          <w:tab w:val="left" w:pos="0"/>
          <w:tab w:val="center" w:pos="4677"/>
          <w:tab w:val="right" w:pos="93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Квалификационный отбор и определение победителей будут завершены                          до 30 апреля 2025 года. </w:t>
      </w:r>
    </w:p>
    <w:p w:rsidR="007812CD" w:rsidRDefault="007812CD" w:rsidP="007812CD"/>
    <w:p w:rsidR="007812CD" w:rsidRDefault="007812CD" w:rsidP="007812CD">
      <w:pPr>
        <w:spacing w:after="60"/>
        <w:ind w:firstLine="567"/>
        <w:jc w:val="both"/>
        <w:rPr>
          <w:sz w:val="28"/>
          <w:szCs w:val="28"/>
        </w:rPr>
      </w:pPr>
      <w:bookmarkStart w:id="1" w:name="ИО"/>
      <w:bookmarkEnd w:id="1"/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 «Лучшая ярмарка»</w:t>
      </w:r>
    </w:p>
    <w:tbl>
      <w:tblPr>
        <w:tblW w:w="10031" w:type="dxa"/>
        <w:tblInd w:w="108" w:type="dxa"/>
        <w:tblLook w:val="0000" w:firstRow="0" w:lastRow="0" w:firstColumn="0" w:lastColumn="0" w:noHBand="0" w:noVBand="0"/>
      </w:tblPr>
      <w:tblGrid>
        <w:gridCol w:w="5921"/>
        <w:gridCol w:w="4110"/>
      </w:tblGrid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Наименование организатора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right"/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ярмарки (в случае отсутствия – «нет»)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Адрес проведения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Общая специализация ярмарки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Универсальная, сельскохозяйственная/ продовольственная, иная</w:t>
            </w: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участников ярмарки (хозяйствующих субъектов, осуществляющих торговлю)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посетителей ярмарки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всего за время проведения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среднем за день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Наличие платы за предоставление услуг на ярмарке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Контактное лицо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right"/>
        <w:rPr>
          <w:sz w:val="20"/>
          <w:szCs w:val="20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 «Лучшая фирменная сеть </w:t>
      </w: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местного товаропроизводителя»</w:t>
      </w:r>
    </w:p>
    <w:tbl>
      <w:tblPr>
        <w:tblW w:w="10031" w:type="dxa"/>
        <w:tblInd w:w="108" w:type="dxa"/>
        <w:tblLook w:val="0000" w:firstRow="0" w:lastRow="0" w:firstColumn="0" w:lastColumn="0" w:noHBand="0" w:noVBand="0"/>
      </w:tblPr>
      <w:tblGrid>
        <w:gridCol w:w="5921"/>
        <w:gridCol w:w="4110"/>
      </w:tblGrid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фирменной сети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Информация о местном товаропроизводителе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Название сетевого магазина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муниципального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Наименование субъекта РФ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Адрес проведения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торговых объектов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стационарных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нестационарных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География присутствия торговых объектов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город/количество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средняя площадь торговых объектов (м2)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Опишите концепцию торговых объектов (1-2 предложения)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 Информация об ассортименте реализуемых товаров (в том числе реализуется ли продукция других производителей? Если да, то какая?)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Контактное лицо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 «Лучший торговый фестиваль»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4672"/>
        <w:gridCol w:w="5238"/>
      </w:tblGrid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Наименование организатора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торгового фестиваля (в случае отсутствия - «нет»)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Адрес проведения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Тематика и концепция торгового фестиваля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частота проведения (раз в году)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общая продолжительность проведения (дней̆ в году)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95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участников торгового фестиваля (хозяйствующих субъектов, осуществляющих торговлю)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посетителей торгового фестиваля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всего за время проведения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среднем за день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62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Основные виды продукции, реализуемые на фестивале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Контактное лицо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/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 «Лучший объект фаст-фуда»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(индивидуальный предприниматель или юридическое лицо)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Тип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Павильон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Корнер 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 Год начала работы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5"/>
          <w:sz w:val="30"/>
          <w:szCs w:val="30"/>
        </w:rPr>
      </w:pPr>
      <w:r>
        <w:rPr>
          <w:b/>
          <w:spacing w:val="15"/>
          <w:sz w:val="32"/>
          <w:szCs w:val="32"/>
        </w:rPr>
        <w:t>Номинация «Лучший оптовый продовольственный рынок</w:t>
      </w:r>
      <w:r>
        <w:rPr>
          <w:b/>
          <w:spacing w:val="15"/>
          <w:sz w:val="30"/>
          <w:szCs w:val="30"/>
        </w:rPr>
        <w:t>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об управляющей компании (с указанием организационно-правовой формы)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right"/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оптового продовольственного рынка (в случае отсутствия - «нет»)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Год открытия оптового продовольственного рынка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Адрес размещения (вкл. почтовый индекс)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Тип оптового продовольственного рынка (возможно указать несколько)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капитальное строение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площадка для торговли с автомобилей под навесом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площадка для торговли с автомобилей без навеса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иной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71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Площадь оптового продовольственного рынка (га)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Количество торговых мест на оптовом продовольственном рынке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Средняя заполняемость оптового продовольственного рынка (%)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Количество хозяйствующих субъектов, осуществляющих торговлю на оптовом продовольственном рынке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2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Количество посетителей оптового продовольственного рынка в среднем за день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2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Основные виды продукции, реализуемые на оптовом продовольственном рынке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6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Объем реализуемых товаров в год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4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 География обслуживания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4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Опишите концепцию оптового продовольственного рынка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</w:pPr>
    </w:p>
    <w:p w:rsidR="007812CD" w:rsidRDefault="007812CD" w:rsidP="007812CD">
      <w:pPr>
        <w:jc w:val="center"/>
      </w:pPr>
    </w:p>
    <w:p w:rsidR="007812CD" w:rsidRDefault="007812CD" w:rsidP="007812CD">
      <w:pPr>
        <w:jc w:val="center"/>
      </w:pPr>
    </w:p>
    <w:p w:rsidR="007812CD" w:rsidRDefault="007812CD" w:rsidP="007812CD">
      <w:pPr>
        <w:jc w:val="center"/>
      </w:pPr>
    </w:p>
    <w:p w:rsidR="007812CD" w:rsidRDefault="007812CD" w:rsidP="007812CD">
      <w:pPr>
        <w:jc w:val="center"/>
      </w:pPr>
    </w:p>
    <w:p w:rsidR="007812CD" w:rsidRDefault="007812CD" w:rsidP="007812CD">
      <w:pPr>
        <w:jc w:val="center"/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«Лучший торговый город»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1.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right"/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2.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3. Количество торговых объектов и объектов общественного питания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2012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2013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  <w:p w:rsidR="007812CD" w:rsidRDefault="007812CD" w:rsidP="00B629B6">
            <w:r>
              <w:t xml:space="preserve">всего </w:t>
            </w:r>
          </w:p>
          <w:p w:rsidR="007812CD" w:rsidRDefault="007812CD" w:rsidP="00B629B6">
            <w:r>
              <w:t xml:space="preserve">нестационарные </w:t>
            </w:r>
          </w:p>
          <w:p w:rsidR="007812CD" w:rsidRDefault="007812CD" w:rsidP="00B629B6">
            <w:r>
              <w:t>стационарные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4. Количество торговых улиц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5. Количество торговых объектов и объектов общественного питания, имеющих лицензию на розничную продажу алкогольной̆ продукции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/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lastRenderedPageBreak/>
              <w:t>6. Жалобы предпринимателей̆ на действия органов государственной̆ власти субъекта Российской̆ Федерации и органов местного самоуправления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Имеются/не имеются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7. Сроки договоров на размещение нестационарных торговых объектов составляют не менее 5 лет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8. Предусмотрено предоставление компенсационного места в случае необходимости задействования места размещения нестационарного торгового объекта для государственных нужд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9. Обеспечена возможность продления права на размещение нестационарного торгового объекта без повторного проведения торгов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Да/нет</w:t>
            </w: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 xml:space="preserve">10.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«Лучшая торговая улица»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Адрес торговой улицы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Количество торговых объектов и объектов общественного питания, расположенных на улице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всего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9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нестационарных торговых объектов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457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стационарных торговых объектов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517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Протяженность торговой улицы (м)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Категория улицы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Пешеходная/с транспортным движением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Укажите количество торговых объектов и объектов общественного питания, для которых характерно наличие или отсутствие следующих характеристик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2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торговые объекты расположены в объектах капитального строительства на первых этажах или в нестационарных торговых объектах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467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собственный выход на улицу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Имеют/не имеют</w:t>
            </w:r>
          </w:p>
        </w:tc>
      </w:tr>
      <w:tr w:rsidR="007812CD" w:rsidTr="00B629B6">
        <w:trPr>
          <w:trHeight w:val="417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собственные витрины, вывески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Имеют/не имеют</w:t>
            </w:r>
          </w:p>
        </w:tc>
      </w:tr>
      <w:tr w:rsidR="007812CD" w:rsidTr="00B629B6">
        <w:trPr>
          <w:trHeight w:val="62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крыльцо, ступеньки и иные препятствия для доступа посетителей̆ с тротуара в торговые объекты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Имеют/не имеют</w:t>
            </w: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/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«Лучший розничный рынок»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об управляющей компании (с указанием организационно-правовой формы)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jc w:val="right"/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рынка (в случае отсутствия - «нет»)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 размещения (вкл. почтовый индекс)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Тип розничного рынка (возможно указать несколько)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7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торговых мест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всего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3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 сельскохозяйственную продукцию и продукты питания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 непродовольственные товары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Средняя заполняемость (указать количество торговых мест)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50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холодный сезон (ноябрь-апрель)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42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тёплый сезон (май -октябрь)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6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Основные виды продукции/товаров, реализуемых на рынке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4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Наличие уличной сезонной торговли плодоовощной продукцией (в т.ч., в формате ярмарки при розничном рынке)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411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 Количество посетителей розничного рынка в среднем за день: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«Лучший нестационарный торговый объект»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(индивидуальный предприниматель или юридическое лицо)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 торгового объекта (вкл. почтовый индекс)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Тип нестационарного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Год возведения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Срок договора на размещение нестационарного торгового объекта не менее 5 лет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Предусмотрено предоставление компенсационного места в случае необходимости задействования места размещения нестационарного торгового объекта для государственных нужд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Обеспечена возможность продления права на размещение нестационарного торгового объекта без повторного проведения торгов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 Типовой дизайн для нестационарного торгового объекта утвержден правовым актом органа местного самоуправления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Дизайн нестационарного торгового объекта разработан владельцем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«Лучший магазин»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(индивидуальный предприниматель или юридическое лицо)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магазина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 магазина (вкл. почтовый индекс)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Торговая площадь (м2)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 магазина есть собственные витрины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 магазина есть отдельный вход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>
              <w:t xml:space="preserve"> </w:t>
            </w:r>
            <w:r>
              <w:rPr>
                <w:sz w:val="28"/>
                <w:szCs w:val="28"/>
              </w:rPr>
              <w:t>У магазина есть собственная вывеска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Магазин является фирменным магазином производителя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Опишите концепцию магазина (1-2 предложения)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</w:p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lastRenderedPageBreak/>
        <w:t>Номинация «Лучший мобильный торговый объект»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(индивидуальный предприниматель или юридическое лицо)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Адрес, маршрут (при наличии)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Тип мобильного торгового объекта: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Лоток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Палатка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Киоск </w:t>
            </w:r>
          </w:p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Функциональные характеристики мобильного торгового объекта (прицеп, холодильное оборудование, морозильное оборудование, встроенная мебель, генератор и пр.)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Информация о транспортном средстве, которое используется в качестве мобильного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производитель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год выпуска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/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«Лучшая представленность российских товаров»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(индивидуальный предприниматель или юридическое лицо)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магазина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 местонахождения торгового объекта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Доля российских производителей и брендов, представленных в ассортименте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Категории, в которых большая часть ассортимента - товары российского производства*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российских товаров, отмеченных российским знаком качества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Информация о совместных проектах с российскими производителями (в т.ч. </w:t>
            </w:r>
            <w:r>
              <w:rPr>
                <w:sz w:val="28"/>
                <w:szCs w:val="28"/>
              </w:rPr>
              <w:lastRenderedPageBreak/>
              <w:t>специальные условия для российских производителей. Если есть - то какие?)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r>
        <w:rPr>
          <w:rFonts w:ascii="Arial" w:hAnsi="Arial" w:cs="Arial"/>
          <w:b/>
          <w:bCs/>
          <w:color w:val="C84530"/>
          <w:sz w:val="30"/>
          <w:szCs w:val="30"/>
          <w:shd w:val="clear" w:color="auto" w:fill="FFFFFF"/>
        </w:rPr>
        <w:t>*</w:t>
      </w:r>
      <w:r>
        <w:rPr>
          <w:rFonts w:ascii="Arial" w:hAnsi="Arial" w:cs="Arial"/>
          <w:sz w:val="19"/>
          <w:szCs w:val="19"/>
          <w:shd w:val="clear" w:color="auto" w:fill="FFFFFF"/>
        </w:rPr>
        <w:t>В данной номинации под товарами российского производства рекомендуется понимать товары, произведенные на территории Российской федерации. Собственниками произведенных товаров рекомендуется считать граждан Российской Федерации. Бренды могут быть зарегистрированы в Российской Федерации, либо принадлежать гражданам Российской Федерации.</w:t>
      </w:r>
    </w:p>
    <w:p w:rsidR="007812CD" w:rsidRDefault="007812CD" w:rsidP="007812CD"/>
    <w:p w:rsidR="007812CD" w:rsidRDefault="007812CD" w:rsidP="007812CD">
      <w:pPr>
        <w:jc w:val="center"/>
        <w:rPr>
          <w:b/>
          <w:spacing w:val="16"/>
          <w:sz w:val="32"/>
          <w:szCs w:val="32"/>
        </w:rPr>
      </w:pPr>
      <w:r>
        <w:rPr>
          <w:b/>
          <w:spacing w:val="16"/>
          <w:sz w:val="32"/>
          <w:szCs w:val="32"/>
        </w:rPr>
        <w:t>Номинация «Лучший придорожный сервис»</w:t>
      </w:r>
    </w:p>
    <w:tbl>
      <w:tblPr>
        <w:tblW w:w="9910" w:type="dxa"/>
        <w:tblInd w:w="108" w:type="dxa"/>
        <w:tblLook w:val="0000" w:firstRow="0" w:lastRow="0" w:firstColumn="0" w:lastColumn="0" w:noHBand="0" w:noVBand="0"/>
      </w:tblPr>
      <w:tblGrid>
        <w:gridCol w:w="5849"/>
        <w:gridCol w:w="4061"/>
      </w:tblGrid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Информация о владельце (индивидуальный предприниматель или юридическое лицо)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Название придорожного сервиса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Наименование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Наименование субъекта РФ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область-Кузбасс</w:t>
            </w: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Адрес придорожного сервиса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Торговая площадь (м2)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 магазина есть собственные витрины: да/нет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 магазина есть отдельный вход: да/нет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У магазина есть собственная вывеска: да/нет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Магазин является фирменным магазином производителя: да/нет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31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Опишите концепцию магазина (1-2 предложения)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</w:p>
        </w:tc>
      </w:tr>
      <w:tr w:rsidR="007812CD" w:rsidTr="00B629B6">
        <w:trPr>
          <w:trHeight w:val="65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Контактное лицо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CD" w:rsidRDefault="007812CD" w:rsidP="00B6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контактный телефон</w:t>
            </w:r>
          </w:p>
        </w:tc>
      </w:tr>
    </w:tbl>
    <w:p w:rsidR="007812CD" w:rsidRDefault="007812CD" w:rsidP="007812CD">
      <w:pPr>
        <w:tabs>
          <w:tab w:val="left" w:pos="1935"/>
        </w:tabs>
      </w:pPr>
    </w:p>
    <w:p w:rsidR="007812CD" w:rsidRDefault="007812CD" w:rsidP="007812CD">
      <w:pPr>
        <w:spacing w:after="60"/>
        <w:ind w:firstLine="567"/>
        <w:jc w:val="both"/>
        <w:rPr>
          <w:sz w:val="28"/>
          <w:szCs w:val="28"/>
        </w:rPr>
      </w:pPr>
    </w:p>
    <w:p w:rsidR="001E6A5B" w:rsidRDefault="001E6A5B"/>
    <w:sectPr w:rsidR="001E6A5B">
      <w:footerReference w:type="first" r:id="rId4"/>
      <w:pgSz w:w="11906" w:h="16838"/>
      <w:pgMar w:top="1134" w:right="567" w:bottom="1134" w:left="1701" w:header="0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12CD">
    <w:pPr>
      <w:pStyle w:val="a3"/>
      <w:rPr>
        <w:color w:val="7F7F7F"/>
        <w:sz w:val="16"/>
        <w:szCs w:val="16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9F"/>
    <w:rsid w:val="001E6A5B"/>
    <w:rsid w:val="007812CD"/>
    <w:rsid w:val="0098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F454F-D769-4D5A-B7A3-BF9285D2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12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1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1992</Words>
  <Characters>11359</Characters>
  <Application>Microsoft Office Word</Application>
  <DocSecurity>0</DocSecurity>
  <Lines>94</Lines>
  <Paragraphs>26</Paragraphs>
  <ScaleCrop>false</ScaleCrop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2025-03-12T04:42:00Z</dcterms:created>
  <dcterms:modified xsi:type="dcterms:W3CDTF">2025-03-12T04:42:00Z</dcterms:modified>
</cp:coreProperties>
</file>